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ROSAC0086ZPB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Găina - Lucina</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2"/>
          <w:szCs w:val="22"/>
        </w:rPr>
      </w:pPr>
      <w:sdt>
        <w:sdtPr>
          <w:id w:val="45704057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300" w:lineRule="auto"/>
        <w:rPr>
          <w:sz w:val="22"/>
          <w:szCs w:val="22"/>
        </w:rPr>
      </w:pPr>
      <w:sdt>
        <w:sdtPr>
          <w:id w:val="-837225774"/>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90217326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36,60</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4,34%</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Suceava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83575986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55036239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87553998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87033953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22426518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205846475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36,60</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RONPA0737 Tinovul Găina – Lucina; RONPA0746 Cheile Lucavei;</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1241/2016 privind aprobarea Planului de management al sitului Natura 2000 ROSCI0086 Găina – Lucina;</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8">
      <w:pPr>
        <w:spacing w:after="0" w:before="160" w:line="300" w:lineRule="auto"/>
        <w:rPr>
          <w:sz w:val="22"/>
          <w:szCs w:val="22"/>
        </w:rPr>
      </w:pPr>
      <w:r w:rsidDel="00000000" w:rsidR="00000000" w:rsidRPr="00000000">
        <w:rPr>
          <w:rtl w:val="0"/>
        </w:rPr>
      </w:r>
    </w:p>
    <w:tbl>
      <w:tblPr>
        <w:tblStyle w:val="Table8"/>
        <w:tblW w:w="8964.0" w:type="dxa"/>
        <w:jc w:val="left"/>
        <w:tblInd w:w="10.0" w:type="dxa"/>
        <w:tblLayout w:type="fixed"/>
        <w:tblLook w:val="0400"/>
      </w:tblPr>
      <w:tblGrid>
        <w:gridCol w:w="2392"/>
        <w:gridCol w:w="6572"/>
        <w:tblGridChange w:id="0">
          <w:tblGrid>
            <w:gridCol w:w="2392"/>
            <w:gridCol w:w="657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sz w:val="22"/>
                <w:szCs w:val="22"/>
              </w:rPr>
            </w:pPr>
            <w:r w:rsidDel="00000000" w:rsidR="00000000" w:rsidRPr="00000000">
              <w:rPr>
                <w:i w:val="1"/>
                <w:iCs w:val="1"/>
                <w:sz w:val="22"/>
                <w:szCs w:val="22"/>
                <w:rtl w:val="0"/>
              </w:rPr>
              <w:t xml:space="preserve">91D0* Turbării cu vegetaţie forestieră </w:t>
            </w:r>
          </w:p>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2">
            <w:pPr>
              <w:spacing w:after="0" w:line="30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3">
            <w:pPr>
              <w:spacing w:after="0" w:line="30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4">
            <w:pPr>
              <w:spacing w:after="0" w:line="30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5">
            <w:pP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6">
            <w:pPr>
              <w:spacing w:after="0" w:line="30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77">
            <w:pPr>
              <w:spacing w:after="0" w:line="300" w:lineRule="auto"/>
              <w:rPr>
                <w:i w:val="1"/>
                <w:iCs w:val="1"/>
                <w:sz w:val="22"/>
                <w:szCs w:val="22"/>
              </w:rPr>
            </w:pPr>
            <w:r w:rsidDel="00000000" w:rsidR="00000000" w:rsidRPr="00000000">
              <w:rPr>
                <w:i w:val="1"/>
                <w:iCs w:val="1"/>
                <w:sz w:val="22"/>
                <w:szCs w:val="22"/>
                <w:rtl w:val="0"/>
              </w:rPr>
              <w:t xml:space="preserve">6216 Hamatocaulis vernicosus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jc w:val="both"/>
              <w:rPr>
                <w:sz w:val="22"/>
                <w:szCs w:val="22"/>
              </w:rPr>
            </w:pPr>
            <w:r w:rsidDel="00000000" w:rsidR="00000000" w:rsidRPr="00000000">
              <w:rPr>
                <w:sz w:val="22"/>
                <w:szCs w:val="22"/>
                <w:rtl w:val="0"/>
              </w:rPr>
              <w:t xml:space="preserve">Habitatele forestiere desemnate ca ZPB cuprind atât arborete cu naturalitate ridicată, lăsate în regim de non-intervenție pentru desfășurarea liberă a proceselor naturale, cât și arborete supuse unui management activ minimal, orientat spre conservarea structurii și a microhabitatelor forestiere. Pădurile cu naturalitate ridicată constituie rezervoare importante de carbon și contribuie la reglarea climatului local..</w:t>
            </w:r>
          </w:p>
          <w:p w:rsidR="00000000" w:rsidDel="00000000" w:rsidP="00000000" w:rsidRDefault="00000000" w:rsidRPr="00000000" w14:paraId="0000007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și pentru pădurile încadrate în tipul funcțional 1 (T1) și altele,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C01.03.01 Extragerea manuala turbei</w:t>
            </w:r>
          </w:p>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A04.02 Pasunatul neintensiv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0">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1">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2">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3">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4">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A">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C">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A">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D">
      <w:pPr>
        <w:spacing w:after="0" w:line="300" w:lineRule="auto"/>
        <w:rPr>
          <w:sz w:val="22"/>
          <w:szCs w:val="22"/>
        </w:rPr>
      </w:pPr>
      <w:r w:rsidDel="00000000" w:rsidR="00000000" w:rsidRPr="00000000">
        <w:rPr>
          <w:rtl w:val="0"/>
        </w:rPr>
      </w:r>
    </w:p>
    <w:p w:rsidR="00000000" w:rsidDel="00000000" w:rsidP="00000000" w:rsidRDefault="00000000" w:rsidRPr="00000000" w14:paraId="000000AE">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F">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Brega, P., Filipaşcu, A., Seghedin, T.G., Boşcaiu, N., 1973, Semnificaţia ecologică a rezervaţiilor naturale din jud. Suceava, Studii şi Comunicări de Ocrotirea Naturii Suceava, 3: 5-10.</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Mânzu, C. C. Și colab. 2013. Current and future potential distribution of glacial relict Ligularia sibirica (Asteraceae) in Romania and temporal contribution of Natura 2000 to protect the species in light of global change. Carpathian Journal of Earth and Environmental Sciences 8(2):77 – 87</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E., 1929, Analize de polen în turba Carpaţilor Orientali (Dorna-Lucina), Buletinul Grădinii Botanice şi Muzeului Botanic Universitatea Cluj, 9: 81–210 </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E., Boşcaiu, N., Rădulescu, D., 1973, Eficienţa ecologică a măsurilor pentru protecţia tinovului de la Lucina - Jud. Suceava, Studii şi Comunicări de Ocrotirea Naturii Suceava, 21-28.</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Raclaru, P., Barbu, N., 1959, Studiu floristic şi geobotanic asupra cuvetei Lucina - Bucovina, Iaşi, Analele</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Ursu, T. Și colab. 2017. Review of habitat distribution, conservation status and human impact: the case of one Natura 2000 site in the Eastern Carpathians (Romania). Contribuţii Botanice 52:105-118 Analele Ştiinţifice ale Universităţii „Al. I. Cuza” secţiunea II - Ştiinţe Naturale, 1: 81-109</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40" w:lineRule="auto"/>
        <w:rPr>
          <w:sz w:val="22"/>
          <w:szCs w:val="22"/>
        </w:rPr>
      </w:pPr>
      <w:r w:rsidDel="00000000" w:rsidR="00000000" w:rsidRPr="00000000">
        <w:rPr>
          <w:rtl w:val="0"/>
        </w:rPr>
      </w:r>
    </w:p>
    <w:p w:rsidR="00000000" w:rsidDel="00000000" w:rsidP="00000000" w:rsidRDefault="00000000" w:rsidRPr="00000000" w14:paraId="000000B7">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0B8">
      <w:pPr>
        <w:spacing w:after="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iunie 2025 – online, jud. Suceava. Ulterior, în cadrul procesului de consultare extins la nivel național, au avut loc consultări suplimentare online, în data de 22 ianuarie 2026, cu participarea factorilor interesați relevanți din județul Suceava.</w:t>
      </w:r>
    </w:p>
    <w:p w:rsidR="00000000" w:rsidDel="00000000" w:rsidP="00000000" w:rsidRDefault="00000000" w:rsidRPr="00000000" w14:paraId="000000BA">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C">
      <w:pPr>
        <w:spacing w:after="0" w:line="300" w:lineRule="auto"/>
        <w:rPr>
          <w:sz w:val="22"/>
          <w:szCs w:val="22"/>
        </w:rPr>
      </w:pPr>
      <w:r w:rsidDel="00000000" w:rsidR="00000000" w:rsidRPr="00000000">
        <w:rPr>
          <w:rtl w:val="0"/>
        </w:rPr>
      </w:r>
    </w:p>
    <w:p w:rsidR="00000000" w:rsidDel="00000000" w:rsidP="00000000" w:rsidRDefault="00000000" w:rsidRPr="00000000" w14:paraId="000000BD">
      <w:pPr>
        <w:spacing w:after="0" w:line="300" w:lineRule="auto"/>
        <w:rPr>
          <w:sz w:val="22"/>
          <w:szCs w:val="22"/>
        </w:rPr>
      </w:pPr>
      <w:r w:rsidDel="00000000" w:rsidR="00000000" w:rsidRPr="00000000">
        <w:rPr>
          <w:rtl w:val="0"/>
        </w:rPr>
      </w:r>
    </w:p>
    <w:p w:rsidR="00000000" w:rsidDel="00000000" w:rsidP="00000000" w:rsidRDefault="00000000" w:rsidRPr="00000000" w14:paraId="000000BE">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aS08QEBIYhWPDScjCGfdnFJzd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ZSS1RKbE92ZWwzSnN5aVo2TXNQM1VTc09ybk8xWU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